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2CF8" w14:textId="77777777" w:rsidR="00CD4DFD" w:rsidRDefault="00CD4DFD" w:rsidP="00CD4DFD">
      <w:pPr>
        <w:rPr>
          <w:szCs w:val="24"/>
        </w:rPr>
      </w:pPr>
      <w:r>
        <w:rPr>
          <w:szCs w:val="24"/>
        </w:rPr>
        <w:t xml:space="preserve">SERVICIUL DE AMBULANTA </w:t>
      </w:r>
    </w:p>
    <w:p w14:paraId="5F8BCF64" w14:textId="68B815D3" w:rsidR="00CD4DFD" w:rsidRDefault="00CD4DFD" w:rsidP="00CD4DFD">
      <w:pPr>
        <w:rPr>
          <w:szCs w:val="24"/>
        </w:rPr>
      </w:pPr>
      <w:r>
        <w:rPr>
          <w:szCs w:val="24"/>
        </w:rPr>
        <w:t>AL JUDETULUI CALARASI</w:t>
      </w:r>
    </w:p>
    <w:p w14:paraId="2A9C7428" w14:textId="77777777" w:rsidR="00CD4DFD" w:rsidRDefault="00CD4DFD" w:rsidP="00CD4DFD">
      <w:pPr>
        <w:rPr>
          <w:szCs w:val="24"/>
        </w:rPr>
      </w:pPr>
    </w:p>
    <w:p w14:paraId="4F20D9C1" w14:textId="77777777" w:rsidR="00CD4DFD" w:rsidRDefault="00CD4DFD" w:rsidP="00CD4DFD">
      <w:pPr>
        <w:rPr>
          <w:iCs/>
          <w:sz w:val="22"/>
          <w:szCs w:val="22"/>
        </w:rPr>
      </w:pPr>
      <w:r w:rsidRPr="00E04A8B">
        <w:rPr>
          <w:iCs/>
          <w:sz w:val="22"/>
          <w:szCs w:val="22"/>
        </w:rPr>
        <w:t xml:space="preserve">Operator de date cu caracter personal  14800  </w:t>
      </w:r>
    </w:p>
    <w:p w14:paraId="3A4E95EF" w14:textId="77777777" w:rsidR="00CD4DFD" w:rsidRDefault="00CD4DFD" w:rsidP="00CD4DFD">
      <w:pPr>
        <w:rPr>
          <w:iCs/>
          <w:sz w:val="22"/>
          <w:szCs w:val="22"/>
        </w:rPr>
      </w:pPr>
    </w:p>
    <w:p w14:paraId="73DABCF9" w14:textId="5B132A72" w:rsidR="00CD4DFD" w:rsidRDefault="00CD4DFD" w:rsidP="00CD4DFD">
      <w:pPr>
        <w:rPr>
          <w:iCs/>
          <w:sz w:val="22"/>
          <w:szCs w:val="22"/>
        </w:rPr>
      </w:pPr>
      <w:r w:rsidRPr="00687B48">
        <w:rPr>
          <w:iCs/>
          <w:sz w:val="22"/>
          <w:szCs w:val="22"/>
        </w:rPr>
        <w:t xml:space="preserve">   </w:t>
      </w:r>
      <w:r>
        <w:rPr>
          <w:iCs/>
          <w:sz w:val="22"/>
          <w:szCs w:val="22"/>
        </w:rPr>
        <w:t>Nr</w:t>
      </w:r>
      <w:r>
        <w:rPr>
          <w:iCs/>
          <w:sz w:val="22"/>
          <w:szCs w:val="22"/>
        </w:rPr>
        <w:t>. 164</w:t>
      </w:r>
      <w:r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>11.01.</w:t>
      </w:r>
      <w:r>
        <w:rPr>
          <w:iCs/>
          <w:sz w:val="22"/>
          <w:szCs w:val="22"/>
        </w:rPr>
        <w:t>2024</w:t>
      </w:r>
    </w:p>
    <w:p w14:paraId="2990A3C7" w14:textId="77777777" w:rsidR="00CD4DFD" w:rsidRDefault="00CD4DFD" w:rsidP="00CD4DFD">
      <w:pPr>
        <w:rPr>
          <w:iCs/>
          <w:sz w:val="22"/>
          <w:szCs w:val="22"/>
        </w:rPr>
      </w:pPr>
    </w:p>
    <w:p w14:paraId="2CE7E4EF" w14:textId="77777777" w:rsidR="00CD4DFD" w:rsidRDefault="00CD4DFD" w:rsidP="00CD4DFD">
      <w:pPr>
        <w:rPr>
          <w:iCs/>
          <w:sz w:val="22"/>
          <w:szCs w:val="22"/>
        </w:rPr>
      </w:pPr>
    </w:p>
    <w:p w14:paraId="57465DEB" w14:textId="77777777" w:rsidR="00CD4DFD" w:rsidRPr="00A03F45" w:rsidRDefault="00CD4DFD" w:rsidP="00CD4DFD">
      <w:pPr>
        <w:autoSpaceDE w:val="0"/>
        <w:autoSpaceDN w:val="0"/>
        <w:adjustRightInd w:val="0"/>
        <w:rPr>
          <w:rFonts w:ascii="TimesRomanR" w:hAnsi="TimesRomanR" w:cs="TimesRomanR"/>
          <w:color w:val="000000"/>
          <w:sz w:val="24"/>
          <w:szCs w:val="24"/>
          <w:lang w:val="pt-BR" w:eastAsia="en-US"/>
        </w:rPr>
      </w:pPr>
      <w:r w:rsidRPr="00A03F45">
        <w:rPr>
          <w:rFonts w:ascii="TimesRomanR" w:hAnsi="TimesRomanR" w:cs="TimesRomanR"/>
          <w:color w:val="000000"/>
          <w:sz w:val="24"/>
          <w:szCs w:val="24"/>
          <w:lang w:val="pt-BR" w:eastAsia="en-US"/>
        </w:rPr>
        <w:t xml:space="preserve">     </w:t>
      </w:r>
    </w:p>
    <w:p w14:paraId="418DE9F2" w14:textId="77777777" w:rsidR="00CD4DFD" w:rsidRPr="00A03F45" w:rsidRDefault="00CD4DFD" w:rsidP="00CD4DFD">
      <w:pPr>
        <w:shd w:val="clear" w:color="auto" w:fill="FFFFFF"/>
        <w:jc w:val="both"/>
        <w:rPr>
          <w:rFonts w:ascii="Helvetica" w:hAnsi="Helvetica" w:cs="Helvetica"/>
          <w:color w:val="2D2D2D"/>
          <w:sz w:val="21"/>
          <w:szCs w:val="21"/>
          <w:lang w:val="pt-BR" w:eastAsia="en-US"/>
        </w:rPr>
      </w:pPr>
      <w:r w:rsidRPr="00A03F45">
        <w:rPr>
          <w:b/>
          <w:lang w:val="pt-BR"/>
        </w:rPr>
        <w:t xml:space="preserve"> </w:t>
      </w:r>
      <w:r w:rsidRPr="00A03F45">
        <w:rPr>
          <w:b/>
          <w:lang w:val="pt-BR"/>
        </w:rPr>
        <w:tab/>
      </w:r>
      <w:r w:rsidRPr="00A03F45">
        <w:rPr>
          <w:b/>
          <w:lang w:val="pt-BR"/>
        </w:rPr>
        <w:tab/>
      </w:r>
    </w:p>
    <w:p w14:paraId="7C54C021" w14:textId="77777777" w:rsidR="00CD4DFD" w:rsidRPr="00A03F45" w:rsidRDefault="00CD4DFD" w:rsidP="00CD4DFD">
      <w:pPr>
        <w:ind w:left="72" w:right="72"/>
        <w:jc w:val="center"/>
        <w:rPr>
          <w:rFonts w:ascii="Trebuchet MS" w:hAnsi="Trebuchet MS"/>
          <w:b/>
          <w:bdr w:val="none" w:sz="0" w:space="0" w:color="auto" w:frame="1"/>
          <w:shd w:val="clear" w:color="auto" w:fill="FFFFFF"/>
          <w:lang w:val="pt-BR" w:eastAsia="en-US"/>
        </w:rPr>
      </w:pPr>
      <w:r w:rsidRPr="00A03F45">
        <w:rPr>
          <w:rFonts w:ascii="Trebuchet MS" w:hAnsi="Trebuchet MS"/>
          <w:b/>
          <w:bdr w:val="none" w:sz="0" w:space="0" w:color="auto" w:frame="1"/>
          <w:shd w:val="clear" w:color="auto" w:fill="FFFFFF"/>
          <w:lang w:val="pt-BR" w:eastAsia="en-US"/>
        </w:rPr>
        <w:t>Raport anual de evaluare a incidentelor de integritate</w:t>
      </w:r>
      <w:r w:rsidRPr="00A03F45">
        <w:rPr>
          <w:rFonts w:ascii="Trebuchet MS" w:hAnsi="Trebuchet MS"/>
          <w:b/>
          <w:bCs/>
          <w:bdr w:val="none" w:sz="0" w:space="0" w:color="auto" w:frame="1"/>
          <w:shd w:val="clear" w:color="auto" w:fill="FFFFFF"/>
          <w:lang w:val="pt-BR" w:eastAsia="en-US"/>
        </w:rPr>
        <w:t>.</w:t>
      </w:r>
      <w:r w:rsidRPr="00A03F45">
        <w:rPr>
          <w:rFonts w:ascii="Trebuchet MS" w:hAnsi="Trebuchet MS"/>
          <w:b/>
          <w:bdr w:val="dotted" w:sz="6" w:space="0" w:color="FEFEFE" w:frame="1"/>
          <w:shd w:val="clear" w:color="auto" w:fill="FFFFFF"/>
          <w:lang w:val="pt-BR" w:eastAsia="en-US"/>
        </w:rPr>
        <w:t> </w:t>
      </w:r>
      <w:r w:rsidRPr="00A03F45">
        <w:rPr>
          <w:rFonts w:ascii="Trebuchet MS" w:hAnsi="Trebuchet MS"/>
          <w:b/>
          <w:bdr w:val="none" w:sz="0" w:space="0" w:color="auto" w:frame="1"/>
          <w:shd w:val="clear" w:color="auto" w:fill="FFFFFF"/>
          <w:lang w:val="pt-BR" w:eastAsia="en-US"/>
        </w:rPr>
        <w:t>Incidente de integritate</w:t>
      </w:r>
    </w:p>
    <w:p w14:paraId="5A5B9C4F" w14:textId="77777777" w:rsidR="00CD4DFD" w:rsidRPr="00A03F45" w:rsidRDefault="00CD4DFD" w:rsidP="00CD4DFD">
      <w:pPr>
        <w:ind w:left="72" w:right="72"/>
        <w:jc w:val="center"/>
        <w:rPr>
          <w:rFonts w:ascii="Trebuchet MS" w:hAnsi="Trebuchet MS"/>
          <w:b/>
          <w:bdr w:val="none" w:sz="0" w:space="0" w:color="auto" w:frame="1"/>
          <w:shd w:val="clear" w:color="auto" w:fill="FFFFFF"/>
          <w:lang w:val="pt-BR" w:eastAsia="en-US"/>
        </w:rPr>
      </w:pPr>
      <w:r w:rsidRPr="00A03F45">
        <w:rPr>
          <w:rFonts w:ascii="Trebuchet MS" w:hAnsi="Trebuchet MS"/>
          <w:b/>
          <w:bdr w:val="none" w:sz="0" w:space="0" w:color="auto" w:frame="1"/>
          <w:shd w:val="clear" w:color="auto" w:fill="FFFFFF"/>
          <w:lang w:val="pt-BR" w:eastAsia="en-US"/>
        </w:rPr>
        <w:t>01.01.202</w:t>
      </w:r>
      <w:r>
        <w:rPr>
          <w:rFonts w:ascii="Trebuchet MS" w:hAnsi="Trebuchet MS"/>
          <w:b/>
          <w:bdr w:val="none" w:sz="0" w:space="0" w:color="auto" w:frame="1"/>
          <w:shd w:val="clear" w:color="auto" w:fill="FFFFFF"/>
          <w:lang w:val="pt-BR" w:eastAsia="en-US"/>
        </w:rPr>
        <w:t>3</w:t>
      </w:r>
      <w:r w:rsidRPr="00A03F45">
        <w:rPr>
          <w:rFonts w:ascii="Trebuchet MS" w:hAnsi="Trebuchet MS"/>
          <w:b/>
          <w:bdr w:val="none" w:sz="0" w:space="0" w:color="auto" w:frame="1"/>
          <w:shd w:val="clear" w:color="auto" w:fill="FFFFFF"/>
          <w:lang w:val="pt-BR" w:eastAsia="en-US"/>
        </w:rPr>
        <w:t>-31.</w:t>
      </w:r>
      <w:r>
        <w:rPr>
          <w:rFonts w:ascii="Trebuchet MS" w:hAnsi="Trebuchet MS"/>
          <w:b/>
          <w:bdr w:val="none" w:sz="0" w:space="0" w:color="auto" w:frame="1"/>
          <w:shd w:val="clear" w:color="auto" w:fill="FFFFFF"/>
          <w:lang w:val="pt-BR" w:eastAsia="en-US"/>
        </w:rPr>
        <w:t>12</w:t>
      </w:r>
      <w:r w:rsidRPr="00A03F45">
        <w:rPr>
          <w:rFonts w:ascii="Trebuchet MS" w:hAnsi="Trebuchet MS"/>
          <w:b/>
          <w:bdr w:val="none" w:sz="0" w:space="0" w:color="auto" w:frame="1"/>
          <w:shd w:val="clear" w:color="auto" w:fill="FFFFFF"/>
          <w:lang w:val="pt-BR" w:eastAsia="en-US"/>
        </w:rPr>
        <w:t>.2023</w:t>
      </w:r>
    </w:p>
    <w:p w14:paraId="07887951" w14:textId="77777777" w:rsidR="00CD4DFD" w:rsidRPr="00A03F45" w:rsidRDefault="00CD4DFD" w:rsidP="00CD4DFD">
      <w:pPr>
        <w:ind w:left="72" w:right="72"/>
        <w:jc w:val="center"/>
        <w:rPr>
          <w:rFonts w:ascii="Trebuchet MS" w:hAnsi="Trebuchet MS"/>
          <w:b/>
          <w:bdr w:val="none" w:sz="0" w:space="0" w:color="auto" w:frame="1"/>
          <w:shd w:val="clear" w:color="auto" w:fill="FFFFFF"/>
          <w:lang w:val="pt-BR" w:eastAsia="en-US"/>
        </w:rPr>
      </w:pPr>
    </w:p>
    <w:p w14:paraId="19A2BA25" w14:textId="77777777" w:rsidR="00CD4DFD" w:rsidRPr="00A03F45" w:rsidRDefault="00CD4DFD" w:rsidP="00CD4DFD">
      <w:pPr>
        <w:tabs>
          <w:tab w:val="left" w:pos="538"/>
        </w:tabs>
        <w:ind w:left="72" w:right="72"/>
        <w:rPr>
          <w:rFonts w:ascii="Trebuchet MS" w:hAnsi="Trebuchet MS"/>
          <w:b/>
          <w:i/>
          <w:sz w:val="22"/>
          <w:szCs w:val="22"/>
          <w:bdr w:val="none" w:sz="0" w:space="0" w:color="auto" w:frame="1"/>
          <w:shd w:val="clear" w:color="auto" w:fill="FFFFFF"/>
          <w:lang w:val="pt-BR" w:eastAsia="en-US"/>
        </w:rPr>
      </w:pPr>
      <w:r w:rsidRPr="00A03F45">
        <w:rPr>
          <w:rFonts w:ascii="Trebuchet MS" w:hAnsi="Trebuchet MS"/>
          <w:b/>
          <w:sz w:val="22"/>
          <w:szCs w:val="22"/>
          <w:bdr w:val="none" w:sz="0" w:space="0" w:color="auto" w:frame="1"/>
          <w:shd w:val="clear" w:color="auto" w:fill="FFFFFF"/>
          <w:lang w:val="pt-BR" w:eastAsia="en-US"/>
        </w:rPr>
        <w:tab/>
      </w:r>
      <w:r w:rsidRPr="00A03F45">
        <w:rPr>
          <w:rFonts w:ascii="Trebuchet MS" w:hAnsi="Trebuchet MS"/>
          <w:b/>
          <w:i/>
          <w:sz w:val="22"/>
          <w:szCs w:val="22"/>
          <w:bdr w:val="none" w:sz="0" w:space="0" w:color="auto" w:frame="1"/>
          <w:shd w:val="clear" w:color="auto" w:fill="FFFFFF"/>
          <w:lang w:val="pt-BR" w:eastAsia="en-US"/>
        </w:rPr>
        <w:t>Cf.ANEXA 6 – HG nr. 599/2018</w:t>
      </w:r>
    </w:p>
    <w:p w14:paraId="12CBED3E" w14:textId="77777777" w:rsidR="00CD4DFD" w:rsidRPr="00A03F45" w:rsidRDefault="00CD4DFD" w:rsidP="00CD4DFD">
      <w:pPr>
        <w:ind w:left="72" w:right="72"/>
        <w:jc w:val="center"/>
        <w:rPr>
          <w:rFonts w:ascii="Trebuchet MS" w:hAnsi="Trebuchet MS"/>
          <w:b/>
          <w:sz w:val="22"/>
          <w:szCs w:val="22"/>
          <w:bdr w:val="none" w:sz="0" w:space="0" w:color="auto" w:frame="1"/>
          <w:shd w:val="clear" w:color="auto" w:fill="FFFFFF"/>
          <w:lang w:val="pt-BR" w:eastAsia="en-US"/>
        </w:rPr>
      </w:pPr>
    </w:p>
    <w:tbl>
      <w:tblPr>
        <w:tblW w:w="10090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6230"/>
        <w:gridCol w:w="1100"/>
      </w:tblGrid>
      <w:tr w:rsidR="00CD4DFD" w:rsidRPr="00A03F45" w14:paraId="5B666F0E" w14:textId="77777777" w:rsidTr="00AB298F"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4592829" w14:textId="77777777" w:rsidR="00CD4DFD" w:rsidRPr="00A03F45" w:rsidRDefault="00CD4DFD" w:rsidP="00AB298F">
            <w:pPr>
              <w:rPr>
                <w:rFonts w:ascii="Trebuchet MS" w:hAnsi="Trebuchet MS"/>
                <w:b/>
                <w:sz w:val="22"/>
                <w:szCs w:val="22"/>
                <w:lang w:val="pt-BR" w:eastAsia="en-US"/>
              </w:rPr>
            </w:pPr>
            <w:r w:rsidRPr="00A03F45">
              <w:rPr>
                <w:rFonts w:ascii="Trebuchet MS" w:hAnsi="Trebuchet MS"/>
                <w:b/>
                <w:sz w:val="22"/>
                <w:szCs w:val="22"/>
                <w:lang w:val="pt-BR" w:eastAsia="en-US"/>
              </w:rPr>
              <w:t>Nr. total de incidente de integritate</w:t>
            </w:r>
          </w:p>
        </w:tc>
      </w:tr>
      <w:tr w:rsidR="00CD4DFD" w:rsidRPr="00A03F45" w14:paraId="26341995" w14:textId="77777777" w:rsidTr="00AB29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3BF54D7" w14:textId="77777777" w:rsidR="00CD4DFD" w:rsidRPr="00A03F45" w:rsidRDefault="00CD4DFD" w:rsidP="00AB298F">
            <w:pPr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</w:pP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Tipul</w:t>
            </w:r>
            <w:proofErr w:type="spellEnd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fapte</w:t>
            </w:r>
            <w:proofErr w:type="spellEnd"/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E266D08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Nr. de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abateri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de la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normele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deontologice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sau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de la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alte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prevederi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similare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menite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să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protejeze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integritatea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funcției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publice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331BD34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0</w:t>
            </w:r>
          </w:p>
        </w:tc>
      </w:tr>
      <w:tr w:rsidR="00CD4DFD" w:rsidRPr="00A03F45" w14:paraId="325574FB" w14:textId="77777777" w:rsidTr="00AB29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7C62A9F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 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85DD6CD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pt-BR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lang w:val="pt-BR" w:eastAsia="en-US"/>
              </w:rPr>
              <w:t>Nr. de infracțiuni de corupție sau de fapte legate de nerespectarea regimului interdicțiilor, incompatibilităților, conflictului de interese sau declarării averilor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306436C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pt-BR" w:eastAsia="en-US"/>
              </w:rPr>
              <w:t> </w:t>
            </w: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0</w:t>
            </w:r>
          </w:p>
        </w:tc>
      </w:tr>
      <w:tr w:rsidR="00CD4DFD" w:rsidRPr="00A03F45" w14:paraId="1EDA1B29" w14:textId="77777777" w:rsidTr="00AB29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375867F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 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EB56A4A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Nr. de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încălcări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ale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obligațiilor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legale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privind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averile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nejustificate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conflictul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interese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sau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regimul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incompatibilităților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0BB5C8B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 0</w:t>
            </w:r>
          </w:p>
        </w:tc>
      </w:tr>
      <w:tr w:rsidR="00CD4DFD" w:rsidRPr="00A03F45" w14:paraId="362C6183" w14:textId="77777777" w:rsidTr="00AB298F">
        <w:tc>
          <w:tcPr>
            <w:tcW w:w="8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050C57E" w14:textId="77777777" w:rsidR="00CD4DFD" w:rsidRPr="00A03F45" w:rsidRDefault="00CD4DFD" w:rsidP="00AB298F">
            <w:pPr>
              <w:rPr>
                <w:rFonts w:ascii="Trebuchet MS" w:hAnsi="Trebuchet MS"/>
                <w:b/>
                <w:sz w:val="22"/>
                <w:szCs w:val="22"/>
                <w:lang w:val="pt-BR" w:eastAsia="en-US"/>
              </w:rPr>
            </w:pPr>
            <w:r w:rsidRPr="00A03F45">
              <w:rPr>
                <w:rFonts w:ascii="Trebuchet MS" w:hAnsi="Trebuchet MS"/>
                <w:b/>
                <w:sz w:val="22"/>
                <w:szCs w:val="22"/>
                <w:lang w:val="pt-BR" w:eastAsia="en-US"/>
              </w:rPr>
              <w:t>Structura/Compartimentul/Direcția/Sectorul de activitate în care au intervenit incidente de integritate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5B54532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pt-BR" w:eastAsia="en-US"/>
              </w:rPr>
              <w:t> </w:t>
            </w: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0</w:t>
            </w:r>
          </w:p>
        </w:tc>
      </w:tr>
      <w:tr w:rsidR="00CD4DFD" w:rsidRPr="00A03F45" w14:paraId="5AA14E9D" w14:textId="77777777" w:rsidTr="00AB298F">
        <w:tc>
          <w:tcPr>
            <w:tcW w:w="2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FA5A9F7" w14:textId="77777777" w:rsidR="00CD4DFD" w:rsidRPr="00A03F45" w:rsidRDefault="00CD4DFD" w:rsidP="00AB298F">
            <w:pPr>
              <w:rPr>
                <w:rFonts w:ascii="Trebuchet MS" w:hAnsi="Trebuchet MS"/>
                <w:b/>
                <w:sz w:val="22"/>
                <w:szCs w:val="22"/>
                <w:lang w:val="pt-BR" w:eastAsia="en-US"/>
              </w:rPr>
            </w:pPr>
            <w:r w:rsidRPr="00A03F45">
              <w:rPr>
                <w:rFonts w:ascii="Trebuchet MS" w:hAnsi="Trebuchet MS"/>
                <w:b/>
                <w:sz w:val="22"/>
                <w:szCs w:val="22"/>
                <w:lang w:val="pt-BR" w:eastAsia="en-US"/>
              </w:rPr>
              <w:t>Funcțiile persoanelor care au săvârșit incidentele de integritate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1765E97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pt-BR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lang w:val="pt-BR" w:eastAsia="en-US"/>
              </w:rPr>
              <w:t>Nr. de fapte săvârșite de persoane cu funcții de conducere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517BC57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pt-BR" w:eastAsia="en-US"/>
              </w:rPr>
              <w:t> </w:t>
            </w: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0</w:t>
            </w:r>
          </w:p>
        </w:tc>
      </w:tr>
      <w:tr w:rsidR="00CD4DFD" w:rsidRPr="00A03F45" w14:paraId="14A3C225" w14:textId="77777777" w:rsidTr="00AB298F">
        <w:tc>
          <w:tcPr>
            <w:tcW w:w="2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951C448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0E409E6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pt-BR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lang w:val="pt-BR" w:eastAsia="en-US"/>
              </w:rPr>
              <w:t>Nr. de fapte săvârșite de persoane cu funcții de execuție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75C8D40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pt-BR" w:eastAsia="en-US"/>
              </w:rPr>
              <w:t> </w:t>
            </w: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0</w:t>
            </w:r>
          </w:p>
        </w:tc>
      </w:tr>
      <w:tr w:rsidR="00CD4DFD" w:rsidRPr="00A03F45" w14:paraId="196F7A00" w14:textId="77777777" w:rsidTr="00AB298F">
        <w:tc>
          <w:tcPr>
            <w:tcW w:w="2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95BBC83" w14:textId="77777777" w:rsidR="00CD4DFD" w:rsidRPr="00A03F45" w:rsidRDefault="00CD4DFD" w:rsidP="00AB298F">
            <w:pPr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 xml:space="preserve">Nr. de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sancțiuni</w:t>
            </w:r>
            <w:proofErr w:type="spellEnd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aplicate</w:t>
            </w:r>
            <w:proofErr w:type="spellEnd"/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F5BDAD5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Nr. de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sancțiuni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disciplinare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1E71724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 0</w:t>
            </w:r>
          </w:p>
        </w:tc>
      </w:tr>
      <w:tr w:rsidR="00CD4DFD" w:rsidRPr="00A03F45" w14:paraId="3D091DCC" w14:textId="77777777" w:rsidTr="00AB298F">
        <w:tc>
          <w:tcPr>
            <w:tcW w:w="2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4A81523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F3FC6F8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Nr. de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sancțiuni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administrative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CC0D71B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 0</w:t>
            </w:r>
          </w:p>
        </w:tc>
      </w:tr>
      <w:tr w:rsidR="00CD4DFD" w:rsidRPr="00A03F45" w14:paraId="1E17E2C3" w14:textId="77777777" w:rsidTr="00AB298F">
        <w:tc>
          <w:tcPr>
            <w:tcW w:w="2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1C8DFAC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23984AE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Nr. de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sancțiuni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penale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3A3CDB7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 0</w:t>
            </w:r>
          </w:p>
        </w:tc>
      </w:tr>
      <w:tr w:rsidR="00CD4DFD" w:rsidRPr="00A03F45" w14:paraId="1AB2381D" w14:textId="77777777" w:rsidTr="00AB298F">
        <w:tc>
          <w:tcPr>
            <w:tcW w:w="8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563214B" w14:textId="77777777" w:rsidR="00CD4DFD" w:rsidRPr="00A03F45" w:rsidRDefault="00CD4DFD" w:rsidP="00AB298F">
            <w:pPr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</w:pP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Durata</w:t>
            </w:r>
            <w:proofErr w:type="spellEnd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medie</w:t>
            </w:r>
            <w:proofErr w:type="spellEnd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procedurilor</w:t>
            </w:r>
            <w:proofErr w:type="spellEnd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cercetare</w:t>
            </w:r>
            <w:proofErr w:type="spellEnd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faptelor</w:t>
            </w:r>
            <w:proofErr w:type="spellEnd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ce</w:t>
            </w:r>
            <w:proofErr w:type="spellEnd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constituie</w:t>
            </w:r>
            <w:proofErr w:type="spellEnd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abateri</w:t>
            </w:r>
            <w:proofErr w:type="spellEnd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disciplinare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700F48B" w14:textId="77777777" w:rsidR="00CD4DFD" w:rsidRPr="00A03F45" w:rsidRDefault="00CD4DFD" w:rsidP="00AB298F">
            <w:pPr>
              <w:jc w:val="center"/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 xml:space="preserve">Nu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este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cazul</w:t>
            </w:r>
            <w:proofErr w:type="spellEnd"/>
          </w:p>
        </w:tc>
      </w:tr>
    </w:tbl>
    <w:p w14:paraId="421F6C2E" w14:textId="77777777" w:rsidR="00CD4DFD" w:rsidRPr="00A03F45" w:rsidRDefault="00CD4DFD" w:rsidP="00CD4DFD">
      <w:pPr>
        <w:ind w:left="72" w:right="72"/>
        <w:rPr>
          <w:rFonts w:ascii="Trebuchet MS" w:hAnsi="Trebuchet MS"/>
          <w:b/>
          <w:b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</w:pPr>
    </w:p>
    <w:p w14:paraId="5B03D4D0" w14:textId="77777777" w:rsidR="00CD4DFD" w:rsidRPr="00A03F45" w:rsidRDefault="00CD4DFD" w:rsidP="00CD4DFD">
      <w:pPr>
        <w:ind w:left="72" w:right="72"/>
        <w:rPr>
          <w:rFonts w:ascii="Trebuchet MS" w:hAnsi="Trebuchet MS"/>
          <w:b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</w:pPr>
      <w:r w:rsidRPr="00A03F45">
        <w:rPr>
          <w:rFonts w:ascii="Trebuchet MS" w:hAnsi="Trebuchet MS"/>
          <w:b/>
          <w:b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II.</w:t>
      </w:r>
      <w:r w:rsidRPr="00A03F45">
        <w:rPr>
          <w:rFonts w:ascii="Trebuchet MS" w:hAnsi="Trebuchet MS"/>
          <w:b/>
          <w:sz w:val="22"/>
          <w:szCs w:val="22"/>
          <w:bdr w:val="dotted" w:sz="6" w:space="0" w:color="FEFEFE" w:frame="1"/>
          <w:shd w:val="clear" w:color="auto" w:fill="FFFFFF"/>
          <w:lang w:val="en-US" w:eastAsia="en-US"/>
        </w:rPr>
        <w:t> </w:t>
      </w:r>
      <w:proofErr w:type="spellStart"/>
      <w:r w:rsidRPr="00A03F45">
        <w:rPr>
          <w:rFonts w:ascii="Trebuchet MS" w:hAnsi="Trebuchet MS"/>
          <w:b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Măsuri</w:t>
      </w:r>
      <w:proofErr w:type="spellEnd"/>
      <w:r w:rsidRPr="00A03F45">
        <w:rPr>
          <w:rFonts w:ascii="Trebuchet MS" w:hAnsi="Trebuchet MS"/>
          <w:b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de </w:t>
      </w:r>
      <w:proofErr w:type="spellStart"/>
      <w:r w:rsidRPr="00A03F45">
        <w:rPr>
          <w:rFonts w:ascii="Trebuchet MS" w:hAnsi="Trebuchet MS"/>
          <w:b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prevenire</w:t>
      </w:r>
      <w:proofErr w:type="spellEnd"/>
      <w:r w:rsidRPr="00A03F45">
        <w:rPr>
          <w:rFonts w:ascii="Trebuchet MS" w:hAnsi="Trebuchet MS"/>
          <w:b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A03F45">
        <w:rPr>
          <w:rFonts w:ascii="Trebuchet MS" w:hAnsi="Trebuchet MS"/>
          <w:b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și</w:t>
      </w:r>
      <w:proofErr w:type="spellEnd"/>
      <w:r w:rsidRPr="00A03F45">
        <w:rPr>
          <w:rFonts w:ascii="Trebuchet MS" w:hAnsi="Trebuchet MS"/>
          <w:b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/</w:t>
      </w:r>
      <w:proofErr w:type="spellStart"/>
      <w:r w:rsidRPr="00A03F45">
        <w:rPr>
          <w:rFonts w:ascii="Trebuchet MS" w:hAnsi="Trebuchet MS"/>
          <w:b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sau</w:t>
      </w:r>
      <w:proofErr w:type="spellEnd"/>
      <w:r w:rsidRPr="00A03F45">
        <w:rPr>
          <w:rFonts w:ascii="Trebuchet MS" w:hAnsi="Trebuchet MS"/>
          <w:b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control</w:t>
      </w:r>
    </w:p>
    <w:p w14:paraId="3D08262D" w14:textId="77777777" w:rsidR="00CD4DFD" w:rsidRPr="00A03F45" w:rsidRDefault="00CD4DFD" w:rsidP="00CD4DFD">
      <w:pPr>
        <w:ind w:left="72" w:right="72"/>
        <w:rPr>
          <w:rFonts w:ascii="Trebuchet MS" w:hAnsi="Trebuchet MS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</w:pPr>
    </w:p>
    <w:tbl>
      <w:tblPr>
        <w:tblW w:w="10090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20"/>
        <w:gridCol w:w="4840"/>
      </w:tblGrid>
      <w:tr w:rsidR="00CD4DFD" w:rsidRPr="00A03F45" w14:paraId="208CCFC3" w14:textId="77777777" w:rsidTr="00AB298F">
        <w:trPr>
          <w:trHeight w:val="327"/>
        </w:trPr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CAD546D" w14:textId="77777777" w:rsidR="00CD4DFD" w:rsidRPr="00A03F45" w:rsidRDefault="00CD4DFD" w:rsidP="00AB298F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pt-BR" w:eastAsia="en-US"/>
              </w:rPr>
            </w:pPr>
            <w:r w:rsidRPr="00A03F45">
              <w:rPr>
                <w:rFonts w:ascii="Trebuchet MS" w:hAnsi="Trebuchet MS"/>
                <w:b/>
                <w:sz w:val="22"/>
                <w:szCs w:val="22"/>
                <w:lang w:val="pt-BR" w:eastAsia="en-US"/>
              </w:rPr>
              <w:t>Nr. total de măsuri propuse:</w:t>
            </w:r>
          </w:p>
        </w:tc>
      </w:tr>
      <w:tr w:rsidR="00CD4DFD" w:rsidRPr="00A03F45" w14:paraId="57611353" w14:textId="77777777" w:rsidTr="00AB298F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50B308C" w14:textId="77777777" w:rsidR="00CD4DFD" w:rsidRPr="00A03F45" w:rsidRDefault="00CD4DFD" w:rsidP="00AB298F">
            <w:pPr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</w:pP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Descrierea</w:t>
            </w:r>
            <w:proofErr w:type="spellEnd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măsurilor</w:t>
            </w:r>
            <w:proofErr w:type="spellEnd"/>
          </w:p>
        </w:tc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9525A5B" w14:textId="77777777" w:rsidR="00CD4DFD" w:rsidRPr="00A03F45" w:rsidRDefault="00CD4DFD" w:rsidP="00AB298F">
            <w:pPr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</w:pP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Stadiul</w:t>
            </w:r>
            <w:proofErr w:type="spellEnd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implementării</w:t>
            </w:r>
            <w:proofErr w:type="spellEnd"/>
          </w:p>
        </w:tc>
      </w:tr>
      <w:tr w:rsidR="00CD4DFD" w:rsidRPr="00A03F45" w14:paraId="54191A5D" w14:textId="77777777" w:rsidTr="00AB298F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22F2ED2" w14:textId="77777777" w:rsidR="00CD4DFD" w:rsidRPr="00A03F45" w:rsidRDefault="00CD4DFD" w:rsidP="00AB298F">
            <w:pPr>
              <w:jc w:val="both"/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1</w:t>
            </w:r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.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Con</w:t>
            </w:r>
            <w:r w:rsidRPr="00A03F45">
              <w:rPr>
                <w:rFonts w:ascii="Trebuchet MS" w:hAnsi="Trebuchet MS" w:cs="Cambria Math"/>
                <w:sz w:val="22"/>
                <w:szCs w:val="22"/>
                <w:lang w:val="en-GB"/>
              </w:rPr>
              <w:t>ș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tientizarea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 w:cs="Cambria Math"/>
                <w:sz w:val="22"/>
                <w:szCs w:val="22"/>
                <w:lang w:val="en-GB"/>
              </w:rPr>
              <w:t>ș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responsabilizarea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personalului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concomitent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dezvoltarea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 w:cs="Cambria Math"/>
                <w:sz w:val="22"/>
                <w:szCs w:val="22"/>
                <w:lang w:val="en-GB"/>
              </w:rPr>
              <w:t>ș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aplicarea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fermă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a</w:t>
            </w:r>
            <w:proofErr w:type="gram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instrumentelor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conduită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etică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 w:cs="Cambria Math"/>
                <w:sz w:val="22"/>
                <w:szCs w:val="22"/>
                <w:lang w:val="en-GB"/>
              </w:rPr>
              <w:t>ș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profesională</w:t>
            </w:r>
            <w:proofErr w:type="spellEnd"/>
          </w:p>
        </w:tc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723F5B3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 Permanent</w:t>
            </w:r>
          </w:p>
          <w:p w14:paraId="29958B7A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</w:pPr>
          </w:p>
          <w:p w14:paraId="69148AAE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</w:p>
        </w:tc>
      </w:tr>
      <w:tr w:rsidR="00CD4DFD" w:rsidRPr="00A03F45" w14:paraId="66D6DC07" w14:textId="77777777" w:rsidTr="00AB298F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21543DD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2.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Implementarea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la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nivelul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institu</w:t>
            </w:r>
            <w:r w:rsidRPr="00A03F45">
              <w:rPr>
                <w:rFonts w:ascii="Trebuchet MS" w:hAnsi="Trebuchet MS" w:cs="Cambria Math"/>
                <w:sz w:val="22"/>
                <w:szCs w:val="22"/>
                <w:lang w:val="en-GB"/>
              </w:rPr>
              <w:t>ț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iei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a </w:t>
            </w:r>
            <w:proofErr w:type="spellStart"/>
            <w:proofErr w:type="gram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procedurii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 –</w:t>
            </w:r>
            <w:proofErr w:type="gram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GB"/>
              </w:rPr>
              <w:t>Semnalarea</w:t>
            </w:r>
            <w:proofErr w:type="spellEnd"/>
            <w:r w:rsidRPr="00A03F45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b/>
                <w:sz w:val="22"/>
                <w:szCs w:val="22"/>
                <w:lang w:val="en-GB"/>
              </w:rPr>
              <w:t>neregularită</w:t>
            </w:r>
            <w:r w:rsidRPr="00A03F45">
              <w:rPr>
                <w:rFonts w:ascii="Trebuchet MS" w:hAnsi="Trebuchet MS" w:cs="Cambria Math"/>
                <w:b/>
                <w:sz w:val="22"/>
                <w:szCs w:val="22"/>
                <w:lang w:val="en-GB"/>
              </w:rPr>
              <w:t>ț</w:t>
            </w:r>
            <w:r w:rsidRPr="00A03F45">
              <w:rPr>
                <w:rFonts w:ascii="Trebuchet MS" w:hAnsi="Trebuchet MS"/>
                <w:b/>
                <w:sz w:val="22"/>
                <w:szCs w:val="22"/>
                <w:lang w:val="en-GB"/>
              </w:rPr>
              <w:t>ilor</w:t>
            </w:r>
            <w:proofErr w:type="spellEnd"/>
          </w:p>
        </w:tc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4D96C92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 Permanent</w:t>
            </w:r>
          </w:p>
          <w:p w14:paraId="0426FD7A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</w:p>
        </w:tc>
      </w:tr>
      <w:tr w:rsidR="00CD4DFD" w:rsidRPr="00A03F45" w14:paraId="7E354E18" w14:textId="77777777" w:rsidTr="00AB298F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BC3E6E9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b/>
                <w:sz w:val="22"/>
                <w:szCs w:val="22"/>
                <w:lang w:val="en-US" w:eastAsia="en-US"/>
              </w:rPr>
              <w:t>3</w:t>
            </w:r>
            <w:r w:rsidRPr="00A03F45">
              <w:rPr>
                <w:rFonts w:ascii="Trebuchet MS" w:hAnsi="Trebuchet MS"/>
                <w:sz w:val="22"/>
                <w:szCs w:val="22"/>
                <w:lang w:val="en-US" w:eastAsia="en-US"/>
              </w:rPr>
              <w:t>.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Elaborarea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chestionare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aferente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măsurilor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preventive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a</w:t>
            </w:r>
            <w:r w:rsidRPr="00A03F45">
              <w:rPr>
                <w:rFonts w:ascii="Trebuchet MS" w:hAnsi="Trebuchet MS" w:cs="Cambria Math"/>
                <w:sz w:val="22"/>
                <w:szCs w:val="22"/>
                <w:lang w:val="en-GB"/>
              </w:rPr>
              <w:t>ș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a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cum sunt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ele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prevăzute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în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cadrul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HG nr. 1269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privind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Codul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etic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deontologic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conduită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conflictul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interese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interdic</w:t>
            </w:r>
            <w:r w:rsidRPr="00A03F45">
              <w:rPr>
                <w:rFonts w:ascii="Trebuchet MS" w:hAnsi="Trebuchet MS" w:cs="Cambria Math"/>
                <w:sz w:val="22"/>
                <w:szCs w:val="22"/>
                <w:lang w:val="en-GB"/>
              </w:rPr>
              <w:t>ț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/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incompatibilită</w:t>
            </w:r>
            <w:r w:rsidRPr="00A03F45">
              <w:rPr>
                <w:rFonts w:ascii="Trebuchet MS" w:hAnsi="Trebuchet MS" w:cs="Cambria Math"/>
                <w:sz w:val="22"/>
                <w:szCs w:val="22"/>
                <w:lang w:val="en-GB"/>
              </w:rPr>
              <w:t>ț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lastRenderedPageBreak/>
              <w:t>declararea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averilor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adresate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tuturor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salaria</w:t>
            </w:r>
            <w:r w:rsidRPr="00A03F45">
              <w:rPr>
                <w:rFonts w:ascii="Trebuchet MS" w:hAnsi="Trebuchet MS" w:cs="Cambria Math"/>
                <w:sz w:val="22"/>
                <w:szCs w:val="22"/>
                <w:lang w:val="en-GB"/>
              </w:rPr>
              <w:t>ț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ilor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institu</w:t>
            </w:r>
            <w:r w:rsidRPr="00A03F45">
              <w:rPr>
                <w:rFonts w:ascii="Trebuchet MS" w:hAnsi="Trebuchet MS" w:cs="Cambria Math"/>
                <w:sz w:val="22"/>
                <w:szCs w:val="22"/>
                <w:lang w:val="en-GB"/>
              </w:rPr>
              <w:t>ț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iei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.</w:t>
            </w:r>
          </w:p>
        </w:tc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57E67D8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</w:pPr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lastRenderedPageBreak/>
              <w:t> 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Aleator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  <w:t>/Sondaj</w:t>
            </w:r>
          </w:p>
          <w:p w14:paraId="5D626BDC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</w:pPr>
          </w:p>
          <w:p w14:paraId="23D0BF13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bdr w:val="none" w:sz="0" w:space="0" w:color="auto" w:frame="1"/>
                <w:lang w:val="en-US" w:eastAsia="en-US"/>
              </w:rPr>
            </w:pPr>
          </w:p>
          <w:p w14:paraId="1A3F01D0" w14:textId="77777777" w:rsidR="00CD4DFD" w:rsidRPr="00A03F45" w:rsidRDefault="00CD4DFD" w:rsidP="00AB298F">
            <w:pPr>
              <w:rPr>
                <w:rFonts w:ascii="Trebuchet MS" w:hAnsi="Trebuchet MS"/>
                <w:sz w:val="22"/>
                <w:szCs w:val="22"/>
                <w:lang w:val="en-US" w:eastAsia="en-US"/>
              </w:rPr>
            </w:pPr>
          </w:p>
        </w:tc>
      </w:tr>
      <w:tr w:rsidR="00CD4DFD" w:rsidRPr="00A03F45" w14:paraId="73379888" w14:textId="77777777" w:rsidTr="00AB2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250" w:type="dxa"/>
            <w:gridSpan w:val="2"/>
          </w:tcPr>
          <w:p w14:paraId="5E01DE23" w14:textId="77777777" w:rsidR="00CD4DFD" w:rsidRPr="00A03F45" w:rsidRDefault="00CD4DFD" w:rsidP="00AB298F">
            <w:pPr>
              <w:spacing w:after="160" w:line="259" w:lineRule="auto"/>
              <w:ind w:left="-64"/>
              <w:rPr>
                <w:rFonts w:ascii="Trebuchet MS" w:eastAsia="Calibri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hAnsi="Trebuchet MS"/>
                <w:b/>
                <w:sz w:val="22"/>
                <w:szCs w:val="22"/>
                <w:lang w:val="en-GB"/>
              </w:rPr>
              <w:lastRenderedPageBreak/>
              <w:t>4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.Aplicarea de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sanc</w:t>
            </w:r>
            <w:r w:rsidRPr="00A03F45">
              <w:rPr>
                <w:rFonts w:ascii="Trebuchet MS" w:hAnsi="Trebuchet MS" w:cs="Cambria Math"/>
                <w:sz w:val="22"/>
                <w:szCs w:val="22"/>
                <w:lang w:val="en-GB"/>
              </w:rPr>
              <w:t>ț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iuni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disciplinare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pentru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încălcarea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normelor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etică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 w:cs="Cambria Math"/>
                <w:sz w:val="22"/>
                <w:szCs w:val="22"/>
                <w:lang w:val="en-GB"/>
              </w:rPr>
              <w:t>ș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conduită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anticorup</w:t>
            </w:r>
            <w:r w:rsidRPr="00A03F45">
              <w:rPr>
                <w:rFonts w:ascii="Trebuchet MS" w:hAnsi="Trebuchet MS" w:cs="Cambria Math"/>
                <w:sz w:val="22"/>
                <w:szCs w:val="22"/>
                <w:lang w:val="en-GB"/>
              </w:rPr>
              <w:t>ț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, la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toate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nivelele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ierarhice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 w:cs="Cambria Math"/>
                <w:sz w:val="22"/>
                <w:szCs w:val="22"/>
                <w:lang w:val="en-GB"/>
              </w:rPr>
              <w:t>ș</w:t>
            </w:r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i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pentru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toate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categoriile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de personal, ca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măsură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coercitivă</w:t>
            </w:r>
            <w:proofErr w:type="spellEnd"/>
            <w:r w:rsidRPr="00A03F45">
              <w:rPr>
                <w:rFonts w:ascii="Trebuchet MS" w:hAnsi="Trebuchet MS"/>
                <w:sz w:val="22"/>
                <w:szCs w:val="22"/>
                <w:lang w:val="en-GB"/>
              </w:rPr>
              <w:t>.</w:t>
            </w:r>
          </w:p>
        </w:tc>
        <w:tc>
          <w:tcPr>
            <w:tcW w:w="4840" w:type="dxa"/>
          </w:tcPr>
          <w:p w14:paraId="08B3C274" w14:textId="77777777" w:rsidR="00CD4DFD" w:rsidRPr="00A03F45" w:rsidRDefault="00CD4DFD" w:rsidP="00AB298F">
            <w:pPr>
              <w:spacing w:after="160" w:line="259" w:lineRule="auto"/>
              <w:ind w:left="-64"/>
              <w:rPr>
                <w:rFonts w:ascii="Trebuchet MS" w:eastAsia="Calibri" w:hAnsi="Trebuchet MS"/>
                <w:sz w:val="22"/>
                <w:szCs w:val="22"/>
                <w:lang w:val="en-US" w:eastAsia="en-US"/>
              </w:rPr>
            </w:pPr>
            <w:r w:rsidRPr="00A03F45">
              <w:rPr>
                <w:rFonts w:ascii="Trebuchet MS" w:eastAsia="Calibri" w:hAnsi="Trebuchet MS"/>
                <w:sz w:val="22"/>
                <w:szCs w:val="22"/>
                <w:lang w:val="en-US" w:eastAsia="en-US"/>
              </w:rPr>
              <w:t xml:space="preserve">Nu </w:t>
            </w:r>
            <w:proofErr w:type="spellStart"/>
            <w:r w:rsidRPr="00A03F45">
              <w:rPr>
                <w:rFonts w:ascii="Trebuchet MS" w:eastAsia="Calibri" w:hAnsi="Trebuchet MS"/>
                <w:sz w:val="22"/>
                <w:szCs w:val="22"/>
                <w:lang w:val="en-US" w:eastAsia="en-US"/>
              </w:rPr>
              <w:t>este</w:t>
            </w:r>
            <w:proofErr w:type="spellEnd"/>
            <w:r w:rsidRPr="00A03F45">
              <w:rPr>
                <w:rFonts w:ascii="Trebuchet MS" w:eastAsia="Calibri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3F45">
              <w:rPr>
                <w:rFonts w:ascii="Trebuchet MS" w:eastAsia="Calibri" w:hAnsi="Trebuchet MS"/>
                <w:sz w:val="22"/>
                <w:szCs w:val="22"/>
                <w:lang w:val="en-US" w:eastAsia="en-US"/>
              </w:rPr>
              <w:t>cazul</w:t>
            </w:r>
            <w:proofErr w:type="spellEnd"/>
          </w:p>
        </w:tc>
      </w:tr>
    </w:tbl>
    <w:p w14:paraId="36E382AE" w14:textId="77777777" w:rsidR="00CD4DFD" w:rsidRPr="00A03F45" w:rsidRDefault="00CD4DFD" w:rsidP="00CD4DFD">
      <w:pPr>
        <w:rPr>
          <w:sz w:val="22"/>
          <w:szCs w:val="22"/>
          <w:lang w:val="en-US" w:eastAsia="en-US"/>
        </w:rPr>
      </w:pPr>
    </w:p>
    <w:p w14:paraId="51192EFE" w14:textId="77777777" w:rsidR="00CD4DFD" w:rsidRPr="00A03F45" w:rsidRDefault="00CD4DFD" w:rsidP="00CD4DFD">
      <w:pPr>
        <w:rPr>
          <w:sz w:val="22"/>
          <w:szCs w:val="22"/>
          <w:lang w:val="en-US" w:eastAsia="en-US"/>
        </w:rPr>
      </w:pPr>
    </w:p>
    <w:p w14:paraId="4E2CA1AF" w14:textId="77777777" w:rsidR="00CD4DFD" w:rsidRPr="00A03F45" w:rsidRDefault="00CD4DFD" w:rsidP="00CD4DFD">
      <w:pPr>
        <w:rPr>
          <w:sz w:val="22"/>
          <w:szCs w:val="22"/>
          <w:lang w:val="en-US" w:eastAsia="en-US"/>
        </w:rPr>
      </w:pPr>
    </w:p>
    <w:p w14:paraId="2143A77E" w14:textId="77777777" w:rsidR="00CD4DFD" w:rsidRPr="00A03F45" w:rsidRDefault="00CD4DFD" w:rsidP="00CD4DFD">
      <w:pPr>
        <w:rPr>
          <w:sz w:val="22"/>
          <w:szCs w:val="22"/>
          <w:lang w:val="en-US" w:eastAsia="en-US"/>
        </w:rPr>
      </w:pPr>
    </w:p>
    <w:p w14:paraId="3B7D5C59" w14:textId="77777777" w:rsidR="00CD4DFD" w:rsidRPr="00A03F45" w:rsidRDefault="00CD4DFD" w:rsidP="00CD4DFD">
      <w:pPr>
        <w:rPr>
          <w:sz w:val="22"/>
          <w:szCs w:val="22"/>
          <w:lang w:val="en-US" w:eastAsia="en-US"/>
        </w:rPr>
      </w:pPr>
    </w:p>
    <w:p w14:paraId="534C986C" w14:textId="77777777" w:rsidR="00CD4DFD" w:rsidRPr="00A03F45" w:rsidRDefault="00CD4DFD" w:rsidP="00CD4DFD">
      <w:pPr>
        <w:tabs>
          <w:tab w:val="left" w:pos="4560"/>
        </w:tabs>
        <w:jc w:val="center"/>
        <w:rPr>
          <w:bCs/>
          <w:sz w:val="24"/>
          <w:szCs w:val="24"/>
          <w:lang w:val="en-US" w:eastAsia="en-US"/>
        </w:rPr>
      </w:pPr>
      <w:r w:rsidRPr="00A03F45">
        <w:rPr>
          <w:bCs/>
          <w:sz w:val="24"/>
          <w:szCs w:val="24"/>
          <w:lang w:val="en-US" w:eastAsia="en-US"/>
        </w:rPr>
        <w:t>Manager general</w:t>
      </w:r>
    </w:p>
    <w:p w14:paraId="3C805C1F" w14:textId="77777777" w:rsidR="00CD4DFD" w:rsidRPr="00A03F45" w:rsidRDefault="00CD4DFD" w:rsidP="00CD4DFD">
      <w:pPr>
        <w:tabs>
          <w:tab w:val="left" w:pos="4560"/>
        </w:tabs>
        <w:jc w:val="center"/>
        <w:rPr>
          <w:bCs/>
          <w:sz w:val="24"/>
          <w:szCs w:val="24"/>
          <w:lang w:val="en-US" w:eastAsia="en-US"/>
        </w:rPr>
      </w:pPr>
      <w:r w:rsidRPr="00A03F45">
        <w:rPr>
          <w:bCs/>
          <w:sz w:val="24"/>
          <w:szCs w:val="24"/>
          <w:lang w:val="en-US" w:eastAsia="en-US"/>
        </w:rPr>
        <w:t>Jurist ILIE Daniela</w:t>
      </w:r>
    </w:p>
    <w:p w14:paraId="235AF8E4" w14:textId="77777777" w:rsidR="00CD4DFD" w:rsidRPr="00A03F45" w:rsidRDefault="00CD4DFD" w:rsidP="00CD4DFD">
      <w:pPr>
        <w:rPr>
          <w:bCs/>
          <w:sz w:val="24"/>
          <w:szCs w:val="24"/>
          <w:lang w:val="en-US" w:eastAsia="en-US"/>
        </w:rPr>
      </w:pPr>
    </w:p>
    <w:p w14:paraId="740AFE51" w14:textId="77777777" w:rsidR="00CD4DFD" w:rsidRPr="00A03F45" w:rsidRDefault="00CD4DFD" w:rsidP="00CD4DFD">
      <w:pPr>
        <w:rPr>
          <w:bCs/>
          <w:sz w:val="24"/>
          <w:szCs w:val="24"/>
          <w:lang w:val="en-US" w:eastAsia="en-US"/>
        </w:rPr>
      </w:pPr>
    </w:p>
    <w:p w14:paraId="64CB722B" w14:textId="77777777" w:rsidR="00CD4DFD" w:rsidRPr="00A03F45" w:rsidRDefault="00CD4DFD" w:rsidP="00CD4DFD">
      <w:pPr>
        <w:rPr>
          <w:bCs/>
          <w:sz w:val="24"/>
          <w:szCs w:val="24"/>
          <w:lang w:val="en-US" w:eastAsia="en-US"/>
        </w:rPr>
      </w:pPr>
    </w:p>
    <w:p w14:paraId="6BE7C87D" w14:textId="77777777" w:rsidR="00CD4DFD" w:rsidRPr="00A03F45" w:rsidRDefault="00CD4DFD" w:rsidP="00CD4DFD">
      <w:pPr>
        <w:rPr>
          <w:bCs/>
          <w:sz w:val="24"/>
          <w:szCs w:val="24"/>
          <w:lang w:val="en-US" w:eastAsia="en-US"/>
        </w:rPr>
      </w:pPr>
    </w:p>
    <w:p w14:paraId="360360B1" w14:textId="77777777" w:rsidR="00CD4DFD" w:rsidRPr="00A03F45" w:rsidRDefault="00CD4DFD" w:rsidP="00CD4DFD">
      <w:pPr>
        <w:tabs>
          <w:tab w:val="left" w:pos="8010"/>
        </w:tabs>
        <w:jc w:val="both"/>
        <w:rPr>
          <w:bCs/>
          <w:sz w:val="24"/>
          <w:szCs w:val="24"/>
          <w:lang w:val="en-US" w:eastAsia="en-US"/>
        </w:rPr>
      </w:pPr>
      <w:proofErr w:type="spellStart"/>
      <w:r>
        <w:rPr>
          <w:bCs/>
          <w:sz w:val="24"/>
          <w:szCs w:val="24"/>
          <w:lang w:val="en-US" w:eastAsia="en-US"/>
        </w:rPr>
        <w:t>Coordonator</w:t>
      </w:r>
      <w:proofErr w:type="spellEnd"/>
      <w:r>
        <w:rPr>
          <w:bCs/>
          <w:sz w:val="24"/>
          <w:szCs w:val="24"/>
          <w:lang w:val="en-US" w:eastAsia="en-US"/>
        </w:rPr>
        <w:t xml:space="preserve">    SNA</w:t>
      </w:r>
      <w:r w:rsidRPr="00A03F45">
        <w:rPr>
          <w:bCs/>
          <w:sz w:val="24"/>
          <w:szCs w:val="24"/>
          <w:lang w:val="en-US" w:eastAsia="en-US"/>
        </w:rPr>
        <w:t>,</w:t>
      </w:r>
    </w:p>
    <w:p w14:paraId="3AA134C0" w14:textId="77777777" w:rsidR="00CD4DFD" w:rsidRPr="00A03F45" w:rsidRDefault="00CD4DFD" w:rsidP="00CD4DFD">
      <w:pPr>
        <w:tabs>
          <w:tab w:val="left" w:pos="8010"/>
        </w:tabs>
        <w:jc w:val="both"/>
        <w:rPr>
          <w:bCs/>
          <w:sz w:val="24"/>
          <w:szCs w:val="24"/>
          <w:lang w:val="en-US" w:eastAsia="en-US"/>
        </w:rPr>
      </w:pPr>
      <w:r w:rsidRPr="00A03F45">
        <w:rPr>
          <w:bCs/>
          <w:sz w:val="24"/>
          <w:szCs w:val="24"/>
          <w:lang w:val="en-US" w:eastAsia="en-US"/>
        </w:rPr>
        <w:t>Ec. DUMITRU Catalin Daniel</w:t>
      </w:r>
    </w:p>
    <w:p w14:paraId="55718A68" w14:textId="77777777" w:rsidR="00CD4DFD" w:rsidRPr="00A03F45" w:rsidRDefault="00CD4DFD" w:rsidP="00CD4DFD">
      <w:pPr>
        <w:rPr>
          <w:bCs/>
          <w:iCs/>
          <w:sz w:val="24"/>
          <w:szCs w:val="24"/>
        </w:rPr>
      </w:pPr>
    </w:p>
    <w:p w14:paraId="7FD79DC1" w14:textId="77777777" w:rsidR="00CD4DFD" w:rsidRPr="00A03F45" w:rsidRDefault="00CD4DFD" w:rsidP="00CD4DFD">
      <w:pPr>
        <w:rPr>
          <w:bCs/>
          <w:iCs/>
          <w:sz w:val="24"/>
          <w:szCs w:val="24"/>
        </w:rPr>
      </w:pPr>
    </w:p>
    <w:p w14:paraId="0DCBFD7C" w14:textId="77777777" w:rsidR="00CD4DFD" w:rsidRPr="00A03F45" w:rsidRDefault="00CD4DFD" w:rsidP="00CD4DFD">
      <w:pPr>
        <w:rPr>
          <w:bCs/>
          <w:iCs/>
          <w:sz w:val="24"/>
          <w:szCs w:val="24"/>
        </w:rPr>
      </w:pPr>
    </w:p>
    <w:p w14:paraId="65C84800" w14:textId="77777777" w:rsidR="00CD4DFD" w:rsidRDefault="00CD4DFD" w:rsidP="00CD4DFD">
      <w:pPr>
        <w:rPr>
          <w:iCs/>
          <w:sz w:val="22"/>
          <w:szCs w:val="22"/>
        </w:rPr>
      </w:pPr>
    </w:p>
    <w:p w14:paraId="4F7F0C8E" w14:textId="77777777" w:rsidR="00CD4DFD" w:rsidRDefault="00CD4DFD" w:rsidP="00CD4DFD">
      <w:pPr>
        <w:rPr>
          <w:iCs/>
          <w:sz w:val="22"/>
          <w:szCs w:val="22"/>
        </w:rPr>
      </w:pPr>
    </w:p>
    <w:p w14:paraId="58117448" w14:textId="77777777" w:rsidR="00CD4DFD" w:rsidRDefault="00CD4DFD" w:rsidP="00CD4DFD">
      <w:pPr>
        <w:rPr>
          <w:iCs/>
          <w:sz w:val="22"/>
          <w:szCs w:val="22"/>
        </w:rPr>
      </w:pPr>
    </w:p>
    <w:p w14:paraId="30A6E00C" w14:textId="77777777" w:rsidR="00CD4DFD" w:rsidRDefault="00CD4DFD" w:rsidP="00CD4DFD">
      <w:pPr>
        <w:rPr>
          <w:iCs/>
          <w:sz w:val="22"/>
          <w:szCs w:val="22"/>
        </w:rPr>
      </w:pPr>
    </w:p>
    <w:p w14:paraId="5BF58713" w14:textId="77777777" w:rsidR="00304A8A" w:rsidRDefault="00304A8A"/>
    <w:sectPr w:rsidR="00304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FD"/>
    <w:rsid w:val="00304A8A"/>
    <w:rsid w:val="00C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7A6F"/>
  <w15:chartTrackingRefBased/>
  <w15:docId w15:val="{C6311EAA-90C1-4229-B981-F83070FC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D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AMBULANTA SAJ</dc:creator>
  <cp:keywords/>
  <dc:description/>
  <cp:lastModifiedBy>AMBULANTA SAJ</cp:lastModifiedBy>
  <cp:revision>1</cp:revision>
  <dcterms:created xsi:type="dcterms:W3CDTF">2024-01-11T10:38:00Z</dcterms:created>
  <dcterms:modified xsi:type="dcterms:W3CDTF">2024-01-11T10:41:00Z</dcterms:modified>
</cp:coreProperties>
</file>